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1F" w:rsidRDefault="00C8581F" w:rsidP="00C8581F">
      <w:pPr>
        <w:tabs>
          <w:tab w:val="left" w:pos="2329"/>
        </w:tabs>
        <w:jc w:val="center"/>
      </w:pPr>
    </w:p>
    <w:p w:rsidR="00C8581F" w:rsidRDefault="00C8581F" w:rsidP="00C8581F">
      <w:pPr>
        <w:tabs>
          <w:tab w:val="left" w:pos="2329"/>
        </w:tabs>
        <w:jc w:val="center"/>
      </w:pPr>
      <w:r>
        <w:t>Student Grievance Procedure</w:t>
      </w:r>
      <w:r>
        <w:t xml:space="preserve"> </w:t>
      </w:r>
    </w:p>
    <w:p w:rsidR="00C8581F" w:rsidRDefault="00C8581F" w:rsidP="00C8581F">
      <w:pPr>
        <w:tabs>
          <w:tab w:val="left" w:pos="2329"/>
        </w:tabs>
        <w:jc w:val="center"/>
      </w:pPr>
      <w:r>
        <w:t>To be adapted for your institution/programs</w:t>
      </w:r>
    </w:p>
    <w:p w:rsidR="00C8581F" w:rsidRDefault="00C8581F" w:rsidP="00C8581F">
      <w:pPr>
        <w:tabs>
          <w:tab w:val="left" w:pos="2329"/>
        </w:tabs>
        <w:jc w:val="center"/>
      </w:pPr>
    </w:p>
    <w:p w:rsidR="00C8581F" w:rsidRDefault="00C8581F" w:rsidP="00C8581F">
      <w:pPr>
        <w:tabs>
          <w:tab w:val="left" w:pos="2329"/>
        </w:tabs>
      </w:pPr>
    </w:p>
    <w:p w:rsidR="00C8581F" w:rsidRDefault="00C8581F" w:rsidP="00C8581F">
      <w:pPr>
        <w:tabs>
          <w:tab w:val="left" w:pos="2329"/>
        </w:tabs>
      </w:pPr>
      <w:r>
        <w:t>Student Grievance Procedure: Should a student have a complaint with the Institution, then the following steps shall be taken by him/her</w:t>
      </w:r>
      <w:r>
        <w:t>:</w:t>
      </w:r>
    </w:p>
    <w:p w:rsidR="00C8581F" w:rsidRDefault="00C8581F" w:rsidP="00C8581F">
      <w:pPr>
        <w:tabs>
          <w:tab w:val="left" w:pos="2329"/>
        </w:tabs>
      </w:pPr>
    </w:p>
    <w:p w:rsidR="00C8581F" w:rsidRDefault="00C8581F" w:rsidP="00C8581F">
      <w:pPr>
        <w:tabs>
          <w:tab w:val="left" w:pos="2329"/>
        </w:tabs>
      </w:pPr>
      <w:r>
        <w:t>1.</w:t>
      </w:r>
      <w:r>
        <w:t xml:space="preserve"> </w:t>
      </w:r>
      <w:r>
        <w:t>Student shall first attempt to address the grievance informally with the instructor or applicable staff member and try to resolve it. If unsuccessful, proceed to the written grievance procedure.</w:t>
      </w:r>
    </w:p>
    <w:p w:rsidR="00C8581F" w:rsidRDefault="00C8581F" w:rsidP="00C8581F">
      <w:pPr>
        <w:tabs>
          <w:tab w:val="left" w:pos="2329"/>
        </w:tabs>
      </w:pPr>
    </w:p>
    <w:p w:rsidR="00C8581F" w:rsidRDefault="00C8581F" w:rsidP="00C8581F">
      <w:pPr>
        <w:tabs>
          <w:tab w:val="left" w:pos="2329"/>
        </w:tabs>
      </w:pPr>
      <w:r>
        <w:t>2.</w:t>
      </w:r>
      <w:r>
        <w:t xml:space="preserve"> </w:t>
      </w:r>
      <w:r>
        <w:t xml:space="preserve">Student may state the grievance in writing to the “Administrator” Campus President, or designee. Administrator or designee shall have five (5) business days in which to investigate and address the grievance. </w:t>
      </w:r>
    </w:p>
    <w:p w:rsidR="00C8581F" w:rsidRDefault="00C8581F" w:rsidP="00C8581F">
      <w:pPr>
        <w:tabs>
          <w:tab w:val="left" w:pos="2329"/>
        </w:tabs>
      </w:pPr>
    </w:p>
    <w:p w:rsidR="00C8581F" w:rsidRDefault="00C8581F" w:rsidP="00C8581F">
      <w:pPr>
        <w:tabs>
          <w:tab w:val="left" w:pos="2329"/>
        </w:tabs>
      </w:pPr>
      <w:r>
        <w:t>3</w:t>
      </w:r>
      <w:r>
        <w:t xml:space="preserve">. </w:t>
      </w:r>
      <w:r>
        <w:t>Should Administrator or designee fail to or unacceptably address the grievance, the Student may file a complaint with the Arizona State Board for Private Postsecondary Education. The Student must contact the State Board for further details.</w:t>
      </w:r>
    </w:p>
    <w:p w:rsidR="00C8581F" w:rsidRDefault="00C8581F" w:rsidP="00C8581F">
      <w:pPr>
        <w:tabs>
          <w:tab w:val="left" w:pos="2329"/>
        </w:tabs>
      </w:pPr>
    </w:p>
    <w:p w:rsidR="00C8581F" w:rsidRDefault="00C8581F" w:rsidP="00C8581F">
      <w:pPr>
        <w:tabs>
          <w:tab w:val="left" w:pos="2329"/>
        </w:tabs>
      </w:pPr>
      <w:r>
        <w:t>If the Student complaint cannot be resolved after exhausting the institution’s grievance procedure, the student may file a complaint with the Arizona State Board for Private Postsecondary Education. The student must contact the State Board for further details.</w:t>
      </w:r>
    </w:p>
    <w:p w:rsidR="00C8581F" w:rsidRDefault="00C8581F" w:rsidP="00C8581F">
      <w:pPr>
        <w:tabs>
          <w:tab w:val="left" w:pos="2329"/>
        </w:tabs>
      </w:pPr>
      <w:r>
        <w:t>The State Board Address is:</w:t>
      </w:r>
    </w:p>
    <w:p w:rsidR="00C8581F" w:rsidRDefault="00C8581F" w:rsidP="00C8581F">
      <w:pPr>
        <w:tabs>
          <w:tab w:val="left" w:pos="2329"/>
        </w:tabs>
      </w:pPr>
    </w:p>
    <w:p w:rsidR="00C8581F" w:rsidRDefault="00C8581F" w:rsidP="00C8581F">
      <w:pPr>
        <w:tabs>
          <w:tab w:val="left" w:pos="2329"/>
        </w:tabs>
      </w:pPr>
      <w:r>
        <w:tab/>
        <w:t>1740 W. Adams Street, Suite 3008</w:t>
      </w:r>
    </w:p>
    <w:p w:rsidR="00C8581F" w:rsidRDefault="00C8581F" w:rsidP="00C8581F">
      <w:pPr>
        <w:tabs>
          <w:tab w:val="left" w:pos="2329"/>
        </w:tabs>
      </w:pPr>
      <w:r>
        <w:tab/>
        <w:t>Phoenix, Arizona 85007</w:t>
      </w:r>
    </w:p>
    <w:p w:rsidR="00C8581F" w:rsidRDefault="00C8581F" w:rsidP="00C8581F">
      <w:pPr>
        <w:tabs>
          <w:tab w:val="left" w:pos="2329"/>
        </w:tabs>
      </w:pPr>
      <w:r>
        <w:tab/>
        <w:t>602-542-5709</w:t>
      </w:r>
    </w:p>
    <w:p w:rsidR="00C8581F" w:rsidRDefault="00C8581F" w:rsidP="00C8581F">
      <w:pPr>
        <w:tabs>
          <w:tab w:val="left" w:pos="2329"/>
        </w:tabs>
      </w:pPr>
      <w:r>
        <w:tab/>
        <w:t>Website: www.azppse.gov</w:t>
      </w:r>
    </w:p>
    <w:p w:rsidR="00C8581F" w:rsidRDefault="00C8581F" w:rsidP="00C8581F">
      <w:pPr>
        <w:tabs>
          <w:tab w:val="left" w:pos="2329"/>
        </w:tabs>
      </w:pPr>
    </w:p>
    <w:p w:rsidR="00C8581F" w:rsidRDefault="00C8581F" w:rsidP="00C8581F">
      <w:pPr>
        <w:tabs>
          <w:tab w:val="left" w:pos="2329"/>
        </w:tabs>
      </w:pPr>
      <w:r>
        <w:t>Notes for Consideration:</w:t>
      </w:r>
    </w:p>
    <w:p w:rsidR="00C8581F" w:rsidRDefault="00C8581F" w:rsidP="00C8581F">
      <w:pPr>
        <w:tabs>
          <w:tab w:val="left" w:pos="2329"/>
        </w:tabs>
      </w:pPr>
    </w:p>
    <w:p w:rsidR="00C8581F" w:rsidRDefault="00C8581F" w:rsidP="00C8581F">
      <w:pPr>
        <w:tabs>
          <w:tab w:val="left" w:pos="2329"/>
        </w:tabs>
      </w:pPr>
      <w:r>
        <w:t>•</w:t>
      </w:r>
      <w:r>
        <w:t xml:space="preserve"> </w:t>
      </w:r>
      <w:r>
        <w:t xml:space="preserve">Should a name be utilized in place of “Administrator” include Job title of individual and “designee” in their absence (medical, vacation, restructuring of administration). Ex: John Smith, Campus President, </w:t>
      </w:r>
    </w:p>
    <w:p w:rsidR="00C8581F" w:rsidRDefault="00C8581F" w:rsidP="00C8581F">
      <w:pPr>
        <w:tabs>
          <w:tab w:val="left" w:pos="2329"/>
        </w:tabs>
      </w:pPr>
    </w:p>
    <w:p w:rsidR="00C8581F" w:rsidRDefault="00C8581F" w:rsidP="00C8581F">
      <w:pPr>
        <w:tabs>
          <w:tab w:val="left" w:pos="2329"/>
        </w:tabs>
      </w:pPr>
      <w:r>
        <w:t>•</w:t>
      </w:r>
      <w:r>
        <w:t xml:space="preserve"> </w:t>
      </w:r>
      <w:r>
        <w:t>Schools can allot more or less time for investigation and response to student than indicated.</w:t>
      </w:r>
    </w:p>
    <w:p w:rsidR="00C8581F" w:rsidRDefault="00C8581F" w:rsidP="00C8581F">
      <w:pPr>
        <w:tabs>
          <w:tab w:val="left" w:pos="2329"/>
        </w:tabs>
      </w:pPr>
    </w:p>
    <w:p w:rsidR="00C8581F" w:rsidRDefault="00C8581F" w:rsidP="00C8581F">
      <w:pPr>
        <w:tabs>
          <w:tab w:val="left" w:pos="2329"/>
        </w:tabs>
      </w:pPr>
    </w:p>
    <w:p w:rsidR="00C8581F" w:rsidRDefault="00C8581F" w:rsidP="00C8581F">
      <w:pPr>
        <w:tabs>
          <w:tab w:val="left" w:pos="2329"/>
        </w:tabs>
      </w:pPr>
    </w:p>
    <w:p w:rsidR="00C8581F" w:rsidRDefault="00C8581F" w:rsidP="00C8581F">
      <w:pPr>
        <w:tabs>
          <w:tab w:val="left" w:pos="2329"/>
        </w:tabs>
      </w:pPr>
      <w:r>
        <w:t>•</w:t>
      </w:r>
      <w:r>
        <w:t xml:space="preserve"> </w:t>
      </w:r>
      <w:r>
        <w:t xml:space="preserve">Schools can set a time limit in which a grievance must be submitted from date of occurrence. (6 months, 1 year) </w:t>
      </w:r>
    </w:p>
    <w:p w:rsidR="00C8581F" w:rsidRDefault="00C8581F" w:rsidP="00C8581F">
      <w:pPr>
        <w:tabs>
          <w:tab w:val="left" w:pos="2329"/>
        </w:tabs>
      </w:pPr>
    </w:p>
    <w:p w:rsidR="009955B2" w:rsidRDefault="00C8581F" w:rsidP="00C8581F">
      <w:pPr>
        <w:tabs>
          <w:tab w:val="left" w:pos="2329"/>
        </w:tabs>
      </w:pPr>
      <w:bookmarkStart w:id="0" w:name="_GoBack"/>
      <w:bookmarkEnd w:id="0"/>
      <w:r>
        <w:t>•</w:t>
      </w:r>
      <w:r>
        <w:t xml:space="preserve"> </w:t>
      </w:r>
      <w:r>
        <w:t xml:space="preserve">If for any reason due to administrative negligence the designated time frames are not met a </w:t>
      </w:r>
      <w:proofErr w:type="gramStart"/>
      <w:r>
        <w:t>student</w:t>
      </w:r>
      <w:proofErr w:type="gramEnd"/>
      <w:r>
        <w:t xml:space="preserve"> may file a complaint with the state board and an appearance by the school at the Complaint Committee meeting may be required.</w:t>
      </w:r>
    </w:p>
    <w:p w:rsidR="00C8581F" w:rsidRDefault="00C8581F" w:rsidP="009955B2">
      <w:pPr>
        <w:tabs>
          <w:tab w:val="left" w:pos="2329"/>
        </w:tabs>
      </w:pPr>
    </w:p>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Pr="009955B2" w:rsidRDefault="009955B2" w:rsidP="009955B2"/>
    <w:p w:rsidR="009955B2" w:rsidRDefault="009955B2" w:rsidP="009955B2"/>
    <w:p w:rsidR="009955B2" w:rsidRDefault="009955B2" w:rsidP="009955B2">
      <w:pPr>
        <w:tabs>
          <w:tab w:val="left" w:pos="4107"/>
        </w:tabs>
      </w:pPr>
      <w:r>
        <w:tab/>
      </w:r>
    </w:p>
    <w:p w:rsidR="009955B2" w:rsidRDefault="009955B2" w:rsidP="009955B2">
      <w:pPr>
        <w:tabs>
          <w:tab w:val="left" w:pos="4107"/>
        </w:tabs>
      </w:pPr>
    </w:p>
    <w:p w:rsidR="009955B2" w:rsidRDefault="009955B2" w:rsidP="009955B2">
      <w:pPr>
        <w:tabs>
          <w:tab w:val="left" w:pos="4107"/>
        </w:tabs>
      </w:pPr>
    </w:p>
    <w:p w:rsidR="009955B2" w:rsidRDefault="009955B2" w:rsidP="009955B2">
      <w:pPr>
        <w:tabs>
          <w:tab w:val="left" w:pos="4107"/>
        </w:tabs>
      </w:pPr>
    </w:p>
    <w:p w:rsidR="009955B2" w:rsidRDefault="009955B2" w:rsidP="009955B2">
      <w:pPr>
        <w:tabs>
          <w:tab w:val="left" w:pos="4107"/>
        </w:tabs>
      </w:pPr>
    </w:p>
    <w:p w:rsidR="009955B2" w:rsidRDefault="009955B2" w:rsidP="009955B2">
      <w:pPr>
        <w:tabs>
          <w:tab w:val="left" w:pos="4107"/>
        </w:tabs>
      </w:pPr>
    </w:p>
    <w:p w:rsidR="009955B2" w:rsidRDefault="009955B2" w:rsidP="009955B2">
      <w:pPr>
        <w:tabs>
          <w:tab w:val="left" w:pos="4107"/>
        </w:tabs>
      </w:pPr>
    </w:p>
    <w:p w:rsidR="009955B2" w:rsidRDefault="009955B2" w:rsidP="009955B2">
      <w:pPr>
        <w:tabs>
          <w:tab w:val="left" w:pos="4107"/>
        </w:tabs>
      </w:pPr>
    </w:p>
    <w:p w:rsidR="009955B2" w:rsidRDefault="009955B2" w:rsidP="009955B2">
      <w:pPr>
        <w:tabs>
          <w:tab w:val="left" w:pos="4107"/>
        </w:tabs>
      </w:pPr>
    </w:p>
    <w:p w:rsidR="009955B2" w:rsidRDefault="009955B2" w:rsidP="009955B2">
      <w:pPr>
        <w:tabs>
          <w:tab w:val="left" w:pos="4107"/>
        </w:tabs>
      </w:pPr>
    </w:p>
    <w:p w:rsidR="009955B2" w:rsidRDefault="009955B2" w:rsidP="009955B2">
      <w:pPr>
        <w:tabs>
          <w:tab w:val="left" w:pos="4107"/>
        </w:tabs>
      </w:pPr>
    </w:p>
    <w:p w:rsidR="009955B2" w:rsidRDefault="009955B2" w:rsidP="009955B2">
      <w:pPr>
        <w:tabs>
          <w:tab w:val="left" w:pos="4107"/>
        </w:tabs>
      </w:pPr>
    </w:p>
    <w:p w:rsidR="009955B2" w:rsidRDefault="009955B2" w:rsidP="009955B2">
      <w:pPr>
        <w:tabs>
          <w:tab w:val="left" w:pos="4107"/>
        </w:tabs>
      </w:pPr>
    </w:p>
    <w:p w:rsidR="009955B2" w:rsidRDefault="009955B2" w:rsidP="009955B2">
      <w:pPr>
        <w:tabs>
          <w:tab w:val="left" w:pos="4107"/>
        </w:tabs>
      </w:pPr>
    </w:p>
    <w:p w:rsidR="009955B2" w:rsidRPr="009955B2" w:rsidRDefault="009955B2" w:rsidP="009955B2">
      <w:pPr>
        <w:tabs>
          <w:tab w:val="left" w:pos="4107"/>
        </w:tabs>
      </w:pPr>
    </w:p>
    <w:sectPr w:rsidR="009955B2" w:rsidRPr="009955B2" w:rsidSect="009955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8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39" w:rsidRDefault="00853839" w:rsidP="00F7478E">
      <w:r>
        <w:separator/>
      </w:r>
    </w:p>
  </w:endnote>
  <w:endnote w:type="continuationSeparator" w:id="0">
    <w:p w:rsidR="00853839" w:rsidRDefault="00853839" w:rsidP="00F7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B2" w:rsidRDefault="00995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3F" w:rsidRDefault="009352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89" w:rsidRDefault="00EC0589"/>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tblGrid>
    <w:tr w:rsidR="00EC0589" w:rsidTr="00104698">
      <w:trPr>
        <w:trHeight w:val="2427"/>
      </w:trPr>
      <w:tc>
        <w:tcPr>
          <w:tcW w:w="3155" w:type="dxa"/>
          <w:tcBorders>
            <w:top w:val="nil"/>
            <w:left w:val="nil"/>
            <w:bottom w:val="nil"/>
            <w:right w:val="nil"/>
          </w:tcBorders>
        </w:tcPr>
        <w:p w:rsidR="00EC0589" w:rsidRPr="00104698" w:rsidRDefault="00EC0589" w:rsidP="00ED03E3">
          <w:pPr>
            <w:pStyle w:val="Footer"/>
            <w:tabs>
              <w:tab w:val="left" w:pos="2584"/>
            </w:tabs>
            <w:ind w:hanging="1166"/>
            <w:jc w:val="center"/>
            <w:rPr>
              <w:sz w:val="16"/>
              <w:szCs w:val="16"/>
            </w:rPr>
          </w:pPr>
          <w:r w:rsidRPr="00104698">
            <w:rPr>
              <w:sz w:val="16"/>
              <w:szCs w:val="16"/>
            </w:rPr>
            <w:t>1740 WEST</w:t>
          </w:r>
        </w:p>
        <w:p w:rsidR="00FA7CEB" w:rsidRPr="00FA7CEB" w:rsidRDefault="00FA7CEB" w:rsidP="00ED03E3">
          <w:pPr>
            <w:pStyle w:val="Footer"/>
            <w:ind w:hanging="1166"/>
            <w:jc w:val="center"/>
            <w:rPr>
              <w:sz w:val="16"/>
              <w:szCs w:val="16"/>
            </w:rPr>
          </w:pPr>
          <w:r>
            <w:rPr>
              <w:sz w:val="16"/>
              <w:szCs w:val="16"/>
            </w:rPr>
            <w:t>ADAMS ST,</w:t>
          </w:r>
        </w:p>
        <w:p w:rsidR="00EC0589" w:rsidRPr="00FA7CEB" w:rsidRDefault="00ED03E3" w:rsidP="00ED03E3">
          <w:pPr>
            <w:pStyle w:val="Footer"/>
            <w:ind w:hanging="1166"/>
            <w:jc w:val="center"/>
            <w:rPr>
              <w:sz w:val="16"/>
              <w:szCs w:val="16"/>
              <w:u w:val="thick"/>
            </w:rPr>
          </w:pPr>
          <w:r w:rsidRPr="00FA7CEB">
            <w:rPr>
              <w:sz w:val="16"/>
              <w:szCs w:val="16"/>
              <w:u w:val="thick"/>
            </w:rPr>
            <w:t>___SUITE 3008</w:t>
          </w:r>
          <w:r w:rsidR="00EC0589" w:rsidRPr="00FA7CEB">
            <w:rPr>
              <w:sz w:val="16"/>
              <w:szCs w:val="16"/>
              <w:u w:val="thick"/>
            </w:rPr>
            <w:t>___</w:t>
          </w:r>
        </w:p>
        <w:p w:rsidR="00EC0589" w:rsidRPr="00104698" w:rsidRDefault="00EC0589" w:rsidP="00ED03E3">
          <w:pPr>
            <w:pStyle w:val="Footer"/>
            <w:ind w:hanging="1166"/>
            <w:jc w:val="center"/>
            <w:rPr>
              <w:sz w:val="16"/>
              <w:szCs w:val="16"/>
            </w:rPr>
          </w:pPr>
          <w:r w:rsidRPr="00104698">
            <w:rPr>
              <w:sz w:val="16"/>
              <w:szCs w:val="16"/>
            </w:rPr>
            <w:t>PHOENIX</w:t>
          </w:r>
        </w:p>
        <w:p w:rsidR="00EC0589" w:rsidRPr="00104698" w:rsidRDefault="00EC0589" w:rsidP="00ED03E3">
          <w:pPr>
            <w:pStyle w:val="Footer"/>
            <w:ind w:hanging="1166"/>
            <w:jc w:val="center"/>
            <w:rPr>
              <w:sz w:val="16"/>
              <w:szCs w:val="16"/>
            </w:rPr>
          </w:pPr>
          <w:r w:rsidRPr="00104698">
            <w:rPr>
              <w:sz w:val="16"/>
              <w:szCs w:val="16"/>
            </w:rPr>
            <w:t>ARIZONA</w:t>
          </w:r>
        </w:p>
        <w:p w:rsidR="00EC0589" w:rsidRPr="00104698" w:rsidRDefault="00EC0589" w:rsidP="00ED03E3">
          <w:pPr>
            <w:pStyle w:val="Footer"/>
            <w:ind w:hanging="1166"/>
            <w:jc w:val="center"/>
            <w:rPr>
              <w:sz w:val="16"/>
              <w:szCs w:val="16"/>
              <w:u w:val="thick"/>
            </w:rPr>
          </w:pPr>
          <w:r w:rsidRPr="00104698">
            <w:rPr>
              <w:sz w:val="16"/>
              <w:szCs w:val="16"/>
              <w:u w:val="thick"/>
            </w:rPr>
            <w:t>_____85007_____</w:t>
          </w:r>
        </w:p>
        <w:p w:rsidR="00EC0589" w:rsidRPr="00104698" w:rsidRDefault="00EC0589" w:rsidP="00ED03E3">
          <w:pPr>
            <w:pStyle w:val="Footer"/>
            <w:ind w:hanging="1166"/>
            <w:jc w:val="center"/>
            <w:rPr>
              <w:sz w:val="16"/>
              <w:szCs w:val="16"/>
            </w:rPr>
          </w:pPr>
          <w:r w:rsidRPr="00104698">
            <w:rPr>
              <w:sz w:val="16"/>
              <w:szCs w:val="16"/>
            </w:rPr>
            <w:t>PHONE:</w:t>
          </w:r>
        </w:p>
        <w:p w:rsidR="00EC0589" w:rsidRPr="00104698" w:rsidRDefault="00EC0589" w:rsidP="00ED03E3">
          <w:pPr>
            <w:pStyle w:val="Footer"/>
            <w:ind w:hanging="1166"/>
            <w:jc w:val="center"/>
            <w:rPr>
              <w:sz w:val="16"/>
              <w:szCs w:val="16"/>
              <w:u w:val="thick"/>
            </w:rPr>
          </w:pPr>
          <w:r w:rsidRPr="00104698">
            <w:rPr>
              <w:sz w:val="16"/>
              <w:szCs w:val="16"/>
              <w:u w:val="thick"/>
            </w:rPr>
            <w:t>__602-542-5709__</w:t>
          </w:r>
        </w:p>
        <w:p w:rsidR="00EC0589" w:rsidRPr="00104698" w:rsidRDefault="00EC0589" w:rsidP="00ED03E3">
          <w:pPr>
            <w:pStyle w:val="Footer"/>
            <w:ind w:hanging="1166"/>
            <w:jc w:val="center"/>
            <w:rPr>
              <w:sz w:val="16"/>
              <w:szCs w:val="16"/>
            </w:rPr>
          </w:pPr>
          <w:r w:rsidRPr="00104698">
            <w:rPr>
              <w:sz w:val="16"/>
              <w:szCs w:val="16"/>
            </w:rPr>
            <w:t>FAX:</w:t>
          </w:r>
        </w:p>
        <w:p w:rsidR="00EC0589" w:rsidRPr="00104698" w:rsidRDefault="00EC0589" w:rsidP="00ED03E3">
          <w:pPr>
            <w:pStyle w:val="Footer"/>
            <w:ind w:hanging="1166"/>
            <w:jc w:val="center"/>
            <w:rPr>
              <w:sz w:val="16"/>
              <w:szCs w:val="16"/>
              <w:u w:val="thick"/>
            </w:rPr>
          </w:pPr>
          <w:r w:rsidRPr="00104698">
            <w:rPr>
              <w:sz w:val="16"/>
              <w:szCs w:val="16"/>
              <w:u w:val="thick"/>
            </w:rPr>
            <w:t>__602-542-1253__</w:t>
          </w:r>
        </w:p>
        <w:p w:rsidR="00EC0589" w:rsidRPr="00104698" w:rsidRDefault="00EC0589" w:rsidP="00ED03E3">
          <w:pPr>
            <w:pStyle w:val="Footer"/>
            <w:ind w:hanging="1166"/>
            <w:jc w:val="center"/>
            <w:rPr>
              <w:sz w:val="16"/>
              <w:szCs w:val="16"/>
            </w:rPr>
          </w:pPr>
          <w:r w:rsidRPr="00104698">
            <w:rPr>
              <w:sz w:val="16"/>
              <w:szCs w:val="16"/>
            </w:rPr>
            <w:t>WEBSITE:</w:t>
          </w:r>
        </w:p>
        <w:p w:rsidR="00EC0589" w:rsidRDefault="00EC0589" w:rsidP="00ED03E3">
          <w:pPr>
            <w:pStyle w:val="Footer"/>
            <w:ind w:hanging="1166"/>
            <w:jc w:val="center"/>
          </w:pPr>
          <w:r w:rsidRPr="00104698">
            <w:rPr>
              <w:sz w:val="16"/>
              <w:szCs w:val="16"/>
            </w:rPr>
            <w:t>WWW.PPSE.AZ.GOV</w:t>
          </w:r>
        </w:p>
      </w:tc>
    </w:tr>
  </w:tbl>
  <w:p w:rsidR="00EC0589" w:rsidRDefault="00EC0589" w:rsidP="00EC0589">
    <w:pPr>
      <w:pStyle w:val="Footer"/>
      <w:ind w:hanging="117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39" w:rsidRDefault="00853839" w:rsidP="00F7478E">
      <w:r>
        <w:separator/>
      </w:r>
    </w:p>
  </w:footnote>
  <w:footnote w:type="continuationSeparator" w:id="0">
    <w:p w:rsidR="00853839" w:rsidRDefault="00853839" w:rsidP="00F74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B2" w:rsidRDefault="00995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0A" w:rsidRPr="009955B2" w:rsidRDefault="0049770A" w:rsidP="009955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ECC" w:rsidRPr="00EC0589" w:rsidRDefault="00EC0589" w:rsidP="00EC0589">
    <w:pPr>
      <w:jc w:val="center"/>
    </w:pPr>
    <w:r>
      <w:rPr>
        <w:rFonts w:ascii="Tahoma" w:hAnsi="Tahoma" w:cs="Tahoma"/>
        <w:noProof/>
      </w:rPr>
      <w:drawing>
        <wp:inline distT="0" distB="0" distL="0" distR="0" wp14:anchorId="53BE358A" wp14:editId="4318DF60">
          <wp:extent cx="1056903" cy="1047946"/>
          <wp:effectExtent l="0" t="0" r="0" b="0"/>
          <wp:docPr id="3" name="Picture 3" descr="az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z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03" cy="1047946"/>
                  </a:xfrm>
                  <a:prstGeom prst="rect">
                    <a:avLst/>
                  </a:prstGeom>
                  <a:noFill/>
                  <a:ln>
                    <a:noFill/>
                  </a:ln>
                </pic:spPr>
              </pic:pic>
            </a:graphicData>
          </a:graphic>
        </wp:inline>
      </w:drawing>
    </w:r>
  </w:p>
  <w:p w:rsidR="00681291" w:rsidRPr="00681291" w:rsidRDefault="00681291" w:rsidP="00EC0589">
    <w:pPr>
      <w:jc w:val="center"/>
      <w:rPr>
        <w:rFonts w:ascii="Monotype Corsiva" w:hAnsi="Monotype Corsiva" w:cs="Miriam"/>
        <w:b/>
        <w:sz w:val="44"/>
        <w:szCs w:val="46"/>
      </w:rPr>
    </w:pPr>
    <w:r w:rsidRPr="00A5018A">
      <w:rPr>
        <w:rFonts w:ascii="Monotype Corsiva" w:hAnsi="Monotype Corsiva" w:cs="Miriam"/>
        <w:b/>
        <w:sz w:val="44"/>
        <w:szCs w:val="46"/>
      </w:rPr>
      <w:t>Arizona State Board for Private Postsecondary Education</w:t>
    </w:r>
    <w:r w:rsidRPr="00F7478E">
      <w:rPr>
        <w:rFonts w:cs="Miriam"/>
        <w:b/>
        <w:noProof/>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8A"/>
    <w:rsid w:val="0006037B"/>
    <w:rsid w:val="000B1BFB"/>
    <w:rsid w:val="000C2B11"/>
    <w:rsid w:val="00104698"/>
    <w:rsid w:val="001B2EAD"/>
    <w:rsid w:val="00325B76"/>
    <w:rsid w:val="0049770A"/>
    <w:rsid w:val="004F689F"/>
    <w:rsid w:val="005A5C7E"/>
    <w:rsid w:val="00681291"/>
    <w:rsid w:val="006B7EE2"/>
    <w:rsid w:val="006D5571"/>
    <w:rsid w:val="00752E1A"/>
    <w:rsid w:val="00812ECC"/>
    <w:rsid w:val="00853839"/>
    <w:rsid w:val="0093407A"/>
    <w:rsid w:val="0093523F"/>
    <w:rsid w:val="00962F36"/>
    <w:rsid w:val="009955B2"/>
    <w:rsid w:val="009B7E32"/>
    <w:rsid w:val="00A5018A"/>
    <w:rsid w:val="00B46911"/>
    <w:rsid w:val="00B60E51"/>
    <w:rsid w:val="00C34A44"/>
    <w:rsid w:val="00C35951"/>
    <w:rsid w:val="00C429B0"/>
    <w:rsid w:val="00C8581F"/>
    <w:rsid w:val="00D90726"/>
    <w:rsid w:val="00E446F7"/>
    <w:rsid w:val="00EB7F20"/>
    <w:rsid w:val="00EC0589"/>
    <w:rsid w:val="00ED03E3"/>
    <w:rsid w:val="00EE79A9"/>
    <w:rsid w:val="00F00E05"/>
    <w:rsid w:val="00F50A0B"/>
    <w:rsid w:val="00F7478E"/>
    <w:rsid w:val="00FA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C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E79A9"/>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8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7478E"/>
  </w:style>
  <w:style w:type="paragraph" w:styleId="Footer">
    <w:name w:val="footer"/>
    <w:basedOn w:val="Normal"/>
    <w:link w:val="FooterChar"/>
    <w:uiPriority w:val="99"/>
    <w:unhideWhenUsed/>
    <w:rsid w:val="00F7478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7478E"/>
  </w:style>
  <w:style w:type="paragraph" w:styleId="BalloonText">
    <w:name w:val="Balloon Text"/>
    <w:basedOn w:val="Normal"/>
    <w:link w:val="BalloonTextChar"/>
    <w:uiPriority w:val="99"/>
    <w:semiHidden/>
    <w:unhideWhenUsed/>
    <w:rsid w:val="00060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37B"/>
    <w:rPr>
      <w:rFonts w:ascii="Segoe UI" w:hAnsi="Segoe UI" w:cs="Segoe UI"/>
      <w:sz w:val="18"/>
      <w:szCs w:val="18"/>
    </w:rPr>
  </w:style>
  <w:style w:type="character" w:customStyle="1" w:styleId="Heading1Char">
    <w:name w:val="Heading 1 Char"/>
    <w:basedOn w:val="DefaultParagraphFont"/>
    <w:link w:val="Heading1"/>
    <w:rsid w:val="00EE79A9"/>
    <w:rPr>
      <w:rFonts w:ascii="Times New Roman" w:eastAsia="Times New Roman" w:hAnsi="Times New Roman" w:cs="Times New Roman"/>
      <w:b/>
      <w:szCs w:val="20"/>
    </w:rPr>
  </w:style>
  <w:style w:type="paragraph" w:styleId="BodyText">
    <w:name w:val="Body Text"/>
    <w:basedOn w:val="Normal"/>
    <w:link w:val="BodyTextChar"/>
    <w:rsid w:val="00EE79A9"/>
    <w:rPr>
      <w:b/>
    </w:rPr>
  </w:style>
  <w:style w:type="character" w:customStyle="1" w:styleId="BodyTextChar">
    <w:name w:val="Body Text Char"/>
    <w:basedOn w:val="DefaultParagraphFont"/>
    <w:link w:val="BodyText"/>
    <w:rsid w:val="00EE79A9"/>
    <w:rPr>
      <w:rFonts w:ascii="Times New Roman" w:eastAsia="Times New Roman" w:hAnsi="Times New Roman" w:cs="Times New Roman"/>
      <w:b/>
      <w:sz w:val="24"/>
      <w:szCs w:val="20"/>
    </w:rPr>
  </w:style>
  <w:style w:type="paragraph" w:styleId="EnvelopeAddress">
    <w:name w:val="envelope address"/>
    <w:basedOn w:val="Normal"/>
    <w:rsid w:val="00EE79A9"/>
    <w:pPr>
      <w:framePr w:w="5040" w:h="1980" w:hRule="exact" w:hSpace="180" w:wrap="auto" w:vAnchor="page" w:hAnchor="page"/>
    </w:pPr>
    <w:rPr>
      <w:rFonts w:asciiTheme="majorHAnsi" w:eastAsiaTheme="majorEastAsia" w:hAnsiTheme="majorHAnsi" w:cstheme="majorBidi"/>
      <w:szCs w:val="24"/>
    </w:rPr>
  </w:style>
  <w:style w:type="paragraph" w:styleId="EnvelopeReturn">
    <w:name w:val="envelope return"/>
    <w:basedOn w:val="Normal"/>
    <w:rsid w:val="00EE79A9"/>
    <w:rPr>
      <w:rFonts w:asciiTheme="majorHAnsi" w:eastAsiaTheme="majorEastAsia" w:hAnsiTheme="majorHAnsi" w:cstheme="majorBidi"/>
      <w:sz w:val="20"/>
    </w:rPr>
  </w:style>
  <w:style w:type="character" w:styleId="PlaceholderText">
    <w:name w:val="Placeholder Text"/>
    <w:basedOn w:val="DefaultParagraphFont"/>
    <w:uiPriority w:val="99"/>
    <w:semiHidden/>
    <w:rsid w:val="004977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C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E79A9"/>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8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7478E"/>
  </w:style>
  <w:style w:type="paragraph" w:styleId="Footer">
    <w:name w:val="footer"/>
    <w:basedOn w:val="Normal"/>
    <w:link w:val="FooterChar"/>
    <w:uiPriority w:val="99"/>
    <w:unhideWhenUsed/>
    <w:rsid w:val="00F7478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7478E"/>
  </w:style>
  <w:style w:type="paragraph" w:styleId="BalloonText">
    <w:name w:val="Balloon Text"/>
    <w:basedOn w:val="Normal"/>
    <w:link w:val="BalloonTextChar"/>
    <w:uiPriority w:val="99"/>
    <w:semiHidden/>
    <w:unhideWhenUsed/>
    <w:rsid w:val="00060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37B"/>
    <w:rPr>
      <w:rFonts w:ascii="Segoe UI" w:hAnsi="Segoe UI" w:cs="Segoe UI"/>
      <w:sz w:val="18"/>
      <w:szCs w:val="18"/>
    </w:rPr>
  </w:style>
  <w:style w:type="character" w:customStyle="1" w:styleId="Heading1Char">
    <w:name w:val="Heading 1 Char"/>
    <w:basedOn w:val="DefaultParagraphFont"/>
    <w:link w:val="Heading1"/>
    <w:rsid w:val="00EE79A9"/>
    <w:rPr>
      <w:rFonts w:ascii="Times New Roman" w:eastAsia="Times New Roman" w:hAnsi="Times New Roman" w:cs="Times New Roman"/>
      <w:b/>
      <w:szCs w:val="20"/>
    </w:rPr>
  </w:style>
  <w:style w:type="paragraph" w:styleId="BodyText">
    <w:name w:val="Body Text"/>
    <w:basedOn w:val="Normal"/>
    <w:link w:val="BodyTextChar"/>
    <w:rsid w:val="00EE79A9"/>
    <w:rPr>
      <w:b/>
    </w:rPr>
  </w:style>
  <w:style w:type="character" w:customStyle="1" w:styleId="BodyTextChar">
    <w:name w:val="Body Text Char"/>
    <w:basedOn w:val="DefaultParagraphFont"/>
    <w:link w:val="BodyText"/>
    <w:rsid w:val="00EE79A9"/>
    <w:rPr>
      <w:rFonts w:ascii="Times New Roman" w:eastAsia="Times New Roman" w:hAnsi="Times New Roman" w:cs="Times New Roman"/>
      <w:b/>
      <w:sz w:val="24"/>
      <w:szCs w:val="20"/>
    </w:rPr>
  </w:style>
  <w:style w:type="paragraph" w:styleId="EnvelopeAddress">
    <w:name w:val="envelope address"/>
    <w:basedOn w:val="Normal"/>
    <w:rsid w:val="00EE79A9"/>
    <w:pPr>
      <w:framePr w:w="5040" w:h="1980" w:hRule="exact" w:hSpace="180" w:wrap="auto" w:vAnchor="page" w:hAnchor="page"/>
    </w:pPr>
    <w:rPr>
      <w:rFonts w:asciiTheme="majorHAnsi" w:eastAsiaTheme="majorEastAsia" w:hAnsiTheme="majorHAnsi" w:cstheme="majorBidi"/>
      <w:szCs w:val="24"/>
    </w:rPr>
  </w:style>
  <w:style w:type="paragraph" w:styleId="EnvelopeReturn">
    <w:name w:val="envelope return"/>
    <w:basedOn w:val="Normal"/>
    <w:rsid w:val="00EE79A9"/>
    <w:rPr>
      <w:rFonts w:asciiTheme="majorHAnsi" w:eastAsiaTheme="majorEastAsia" w:hAnsiTheme="majorHAnsi" w:cstheme="majorBidi"/>
      <w:sz w:val="20"/>
    </w:rPr>
  </w:style>
  <w:style w:type="character" w:styleId="PlaceholderText">
    <w:name w:val="Placeholder Text"/>
    <w:basedOn w:val="DefaultParagraphFont"/>
    <w:uiPriority w:val="99"/>
    <w:semiHidden/>
    <w:rsid w:val="004977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1513">
      <w:bodyDiv w:val="1"/>
      <w:marLeft w:val="0"/>
      <w:marRight w:val="0"/>
      <w:marTop w:val="0"/>
      <w:marBottom w:val="0"/>
      <w:divBdr>
        <w:top w:val="none" w:sz="0" w:space="0" w:color="auto"/>
        <w:left w:val="none" w:sz="0" w:space="0" w:color="auto"/>
        <w:bottom w:val="none" w:sz="0" w:space="0" w:color="auto"/>
        <w:right w:val="none" w:sz="0" w:space="0" w:color="auto"/>
      </w:divBdr>
    </w:div>
    <w:div w:id="9928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DC0F3-69FC-4D6B-9974-E0914699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Howell</dc:creator>
  <cp:lastModifiedBy>Teri Stanfill</cp:lastModifiedBy>
  <cp:revision>2</cp:revision>
  <cp:lastPrinted>2018-01-02T16:56:00Z</cp:lastPrinted>
  <dcterms:created xsi:type="dcterms:W3CDTF">2018-07-17T21:03:00Z</dcterms:created>
  <dcterms:modified xsi:type="dcterms:W3CDTF">2018-07-17T21:03:00Z</dcterms:modified>
</cp:coreProperties>
</file>